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30" w:rsidRDefault="00946A30" w:rsidP="00946A30">
      <w:pPr>
        <w:spacing w:line="360" w:lineRule="auto"/>
        <w:jc w:val="center"/>
        <w:rPr>
          <w:rFonts w:ascii="华文中宋" w:eastAsia="华文中宋" w:hAnsi="华文中宋" w:hint="eastAsia"/>
          <w:sz w:val="44"/>
          <w:szCs w:val="44"/>
        </w:rPr>
      </w:pPr>
      <w:bookmarkStart w:id="0" w:name="_GoBack"/>
      <w:r w:rsidRPr="00167AE9">
        <w:rPr>
          <w:rFonts w:ascii="华文中宋" w:eastAsia="华文中宋" w:hAnsi="华文中宋" w:hint="eastAsia"/>
          <w:sz w:val="44"/>
          <w:szCs w:val="44"/>
        </w:rPr>
        <w:t>探明储量</w:t>
      </w:r>
      <w:r>
        <w:rPr>
          <w:rFonts w:ascii="华文中宋" w:eastAsia="华文中宋" w:hAnsi="华文中宋" w:hint="eastAsia"/>
          <w:sz w:val="44"/>
          <w:szCs w:val="44"/>
        </w:rPr>
        <w:t>的</w:t>
      </w:r>
      <w:r w:rsidRPr="00167AE9">
        <w:rPr>
          <w:rFonts w:ascii="华文中宋" w:eastAsia="华文中宋" w:hAnsi="华文中宋" w:hint="eastAsia"/>
          <w:sz w:val="44"/>
          <w:szCs w:val="44"/>
        </w:rPr>
        <w:t>油气</w:t>
      </w:r>
      <w:r>
        <w:rPr>
          <w:rFonts w:ascii="华文中宋" w:eastAsia="华文中宋" w:hAnsi="华文中宋" w:hint="eastAsia"/>
          <w:sz w:val="44"/>
          <w:szCs w:val="44"/>
        </w:rPr>
        <w:t>矿产资源</w:t>
      </w:r>
      <w:r w:rsidRPr="00167AE9">
        <w:rPr>
          <w:rFonts w:ascii="华文中宋" w:eastAsia="华文中宋" w:hAnsi="华文中宋" w:hint="eastAsia"/>
          <w:sz w:val="44"/>
          <w:szCs w:val="44"/>
        </w:rPr>
        <w:t>统一确权登记</w:t>
      </w:r>
    </w:p>
    <w:p w:rsidR="00946A30" w:rsidRPr="00167AE9" w:rsidRDefault="00946A30" w:rsidP="00946A30">
      <w:pPr>
        <w:spacing w:line="360" w:lineRule="auto"/>
        <w:jc w:val="center"/>
        <w:rPr>
          <w:rFonts w:ascii="华文中宋" w:eastAsia="华文中宋" w:hAnsi="华文中宋" w:hint="eastAsia"/>
          <w:sz w:val="44"/>
          <w:szCs w:val="44"/>
        </w:rPr>
      </w:pPr>
      <w:r w:rsidRPr="00167AE9">
        <w:rPr>
          <w:rFonts w:ascii="华文中宋" w:eastAsia="华文中宋" w:hAnsi="华文中宋" w:hint="eastAsia"/>
          <w:sz w:val="44"/>
          <w:szCs w:val="44"/>
        </w:rPr>
        <w:t>调研工作方案</w:t>
      </w:r>
    </w:p>
    <w:bookmarkEnd w:id="0"/>
    <w:p w:rsidR="00946A30" w:rsidRDefault="00946A30" w:rsidP="00946A30">
      <w:pPr>
        <w:pStyle w:val="a5"/>
        <w:spacing w:beforeLines="100" w:before="312" w:line="520" w:lineRule="atLeast"/>
        <w:ind w:firstLineChars="200" w:firstLine="640"/>
        <w:rPr>
          <w:rFonts w:ascii="仿宋_GB2312" w:eastAsia="仿宋_GB2312" w:hint="eastAsia"/>
          <w:sz w:val="32"/>
        </w:rPr>
      </w:pPr>
      <w:r>
        <w:rPr>
          <w:rFonts w:ascii="仿宋_GB2312" w:eastAsia="仿宋_GB2312" w:hint="eastAsia"/>
          <w:sz w:val="32"/>
        </w:rPr>
        <w:t>为认真贯彻落实党中央、国务院关于加快构建自然资源资产产权制度的总体要求和部党组关于开展自然资源统一确权登记的工作部署，按照部“责任落实年”工作要求，切实推进探明储量的油气矿产资源统一确权登记（以下简称“油气确权登记”）工作落实到位，开展油气确权登记调研工作，掌握普遍规律，及时发现、研究解决重点难点问题，形成可复制可推广的工作经验，为全面推广油气确权登记夯实工作基础。特制订本调研工作方案。</w:t>
      </w:r>
    </w:p>
    <w:p w:rsidR="00946A30" w:rsidRPr="0063078D" w:rsidRDefault="00946A30" w:rsidP="00946A30">
      <w:pPr>
        <w:pStyle w:val="a5"/>
        <w:spacing w:line="520" w:lineRule="atLeast"/>
        <w:ind w:firstLineChars="200" w:firstLine="640"/>
        <w:rPr>
          <w:rFonts w:ascii="黑体" w:eastAsia="黑体" w:hAnsi="黑体" w:hint="eastAsia"/>
          <w:sz w:val="32"/>
          <w:szCs w:val="32"/>
        </w:rPr>
      </w:pPr>
      <w:r w:rsidRPr="0063078D">
        <w:rPr>
          <w:rFonts w:ascii="黑体" w:eastAsia="黑体" w:hAnsi="黑体" w:hint="eastAsia"/>
          <w:sz w:val="32"/>
          <w:szCs w:val="32"/>
        </w:rPr>
        <w:t>一、调研主要内容</w:t>
      </w:r>
    </w:p>
    <w:p w:rsidR="00946A30" w:rsidRPr="009E074C" w:rsidRDefault="00946A30" w:rsidP="00946A30">
      <w:pPr>
        <w:pStyle w:val="a5"/>
        <w:spacing w:line="520" w:lineRule="atLeast"/>
        <w:ind w:firstLineChars="200" w:firstLine="643"/>
        <w:rPr>
          <w:rFonts w:ascii="楷体_GB2312" w:eastAsia="楷体_GB2312" w:hint="eastAsia"/>
          <w:b/>
          <w:sz w:val="32"/>
        </w:rPr>
      </w:pPr>
      <w:r w:rsidRPr="009E074C">
        <w:rPr>
          <w:rFonts w:ascii="楷体_GB2312" w:eastAsia="楷体_GB2312" w:hint="eastAsia"/>
          <w:b/>
          <w:sz w:val="32"/>
        </w:rPr>
        <w:t>（一）重点了解的有关工作情况。</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1.油公司储量管理工作情况。截至2016年底石油、天然气、煤层气和页岩气储量管理流程及储量备案等情况。</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2.油气储量数据库基本情况。油气储量数据库参数完整性，不同矿业权、不同省份的储量分割原则，储量估算面积坐标系统及图形格式等。</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3.现有油气探明储量数据库、登记统计库与矿业权审批登记数据库的衔接情况。</w:t>
      </w:r>
    </w:p>
    <w:p w:rsidR="00946A30" w:rsidRPr="00167AE9" w:rsidRDefault="00946A30" w:rsidP="00946A30">
      <w:pPr>
        <w:pStyle w:val="a5"/>
        <w:spacing w:line="520" w:lineRule="atLeast"/>
        <w:ind w:firstLineChars="200" w:firstLine="643"/>
        <w:rPr>
          <w:rFonts w:ascii="楷体_GB2312" w:eastAsia="楷体_GB2312" w:hint="eastAsia"/>
          <w:b/>
          <w:sz w:val="32"/>
        </w:rPr>
      </w:pPr>
      <w:r w:rsidRPr="00167AE9">
        <w:rPr>
          <w:rFonts w:ascii="楷体_GB2312" w:eastAsia="楷体_GB2312" w:hint="eastAsia"/>
          <w:b/>
          <w:sz w:val="32"/>
        </w:rPr>
        <w:t>（二）重点研讨的几个问题。</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1.油气确权登记的技术要求和细则。</w:t>
      </w:r>
    </w:p>
    <w:p w:rsidR="00946A30" w:rsidRPr="0063078D" w:rsidRDefault="00946A30" w:rsidP="00946A30">
      <w:pPr>
        <w:pStyle w:val="a5"/>
        <w:spacing w:line="520" w:lineRule="atLeast"/>
        <w:ind w:firstLineChars="200" w:firstLine="640"/>
        <w:rPr>
          <w:rFonts w:ascii="仿宋_GB2312" w:eastAsia="仿宋_GB2312"/>
          <w:sz w:val="32"/>
        </w:rPr>
      </w:pPr>
      <w:r>
        <w:rPr>
          <w:rFonts w:ascii="仿宋_GB2312" w:eastAsia="仿宋_GB2312" w:hint="eastAsia"/>
          <w:sz w:val="32"/>
        </w:rPr>
        <w:t>2.</w:t>
      </w:r>
      <w:r w:rsidRPr="0063078D">
        <w:rPr>
          <w:rFonts w:ascii="仿宋_GB2312" w:eastAsia="仿宋_GB2312"/>
          <w:sz w:val="32"/>
        </w:rPr>
        <w:t>目前现有技术标准规范和储量评审备案登记制度是否能</w:t>
      </w:r>
      <w:r w:rsidRPr="0063078D">
        <w:rPr>
          <w:rFonts w:ascii="仿宋_GB2312" w:eastAsia="仿宋_GB2312"/>
          <w:sz w:val="32"/>
        </w:rPr>
        <w:lastRenderedPageBreak/>
        <w:t>满足</w:t>
      </w:r>
      <w:r w:rsidRPr="0063078D">
        <w:rPr>
          <w:rFonts w:ascii="仿宋_GB2312" w:eastAsia="仿宋_GB2312" w:hint="eastAsia"/>
          <w:sz w:val="32"/>
        </w:rPr>
        <w:t>油气</w:t>
      </w:r>
      <w:r w:rsidRPr="0063078D">
        <w:rPr>
          <w:rFonts w:ascii="仿宋_GB2312" w:eastAsia="仿宋_GB2312"/>
          <w:sz w:val="32"/>
        </w:rPr>
        <w:t>确权登记，如何建立有效的运行机制和保障措施，确保登记及时、内容客观真实。</w:t>
      </w:r>
    </w:p>
    <w:p w:rsidR="00946A30" w:rsidRPr="0063078D" w:rsidRDefault="00946A30" w:rsidP="00946A30">
      <w:pPr>
        <w:pStyle w:val="a5"/>
        <w:spacing w:line="520" w:lineRule="atLeast"/>
        <w:ind w:firstLineChars="200" w:firstLine="640"/>
        <w:rPr>
          <w:rFonts w:ascii="仿宋_GB2312" w:eastAsia="仿宋_GB2312" w:hint="eastAsia"/>
          <w:sz w:val="32"/>
        </w:rPr>
      </w:pPr>
      <w:r w:rsidRPr="0063078D">
        <w:rPr>
          <w:rFonts w:ascii="仿宋_GB2312" w:eastAsia="仿宋_GB2312" w:hint="eastAsia"/>
          <w:sz w:val="32"/>
        </w:rPr>
        <w:t>3</w:t>
      </w:r>
      <w:r w:rsidRPr="0063078D">
        <w:rPr>
          <w:rFonts w:ascii="仿宋_GB2312" w:eastAsia="仿宋_GB2312"/>
          <w:sz w:val="32"/>
        </w:rPr>
        <w:t>.推进</w:t>
      </w:r>
      <w:r w:rsidRPr="0063078D">
        <w:rPr>
          <w:rFonts w:ascii="仿宋_GB2312" w:eastAsia="仿宋_GB2312" w:hint="eastAsia"/>
          <w:sz w:val="32"/>
        </w:rPr>
        <w:t>油气</w:t>
      </w:r>
      <w:r w:rsidRPr="0063078D">
        <w:rPr>
          <w:rFonts w:ascii="仿宋_GB2312" w:eastAsia="仿宋_GB2312"/>
          <w:sz w:val="32"/>
        </w:rPr>
        <w:t>确权登记工作意见和建议。</w:t>
      </w:r>
    </w:p>
    <w:p w:rsidR="00946A30" w:rsidRPr="0063078D" w:rsidRDefault="00946A30" w:rsidP="00946A30">
      <w:pPr>
        <w:pStyle w:val="a5"/>
        <w:spacing w:line="520" w:lineRule="atLeast"/>
        <w:ind w:firstLineChars="200" w:firstLine="640"/>
        <w:rPr>
          <w:rFonts w:ascii="黑体" w:eastAsia="黑体" w:hAnsi="黑体" w:hint="eastAsia"/>
          <w:sz w:val="32"/>
          <w:szCs w:val="32"/>
        </w:rPr>
      </w:pPr>
      <w:r w:rsidRPr="0063078D">
        <w:rPr>
          <w:rFonts w:ascii="黑体" w:eastAsia="黑体" w:hAnsi="黑体" w:hint="eastAsia"/>
          <w:sz w:val="32"/>
          <w:szCs w:val="32"/>
        </w:rPr>
        <w:t>二、调研对象及范围</w:t>
      </w:r>
    </w:p>
    <w:p w:rsidR="00946A30" w:rsidRDefault="00946A30" w:rsidP="00946A30">
      <w:pPr>
        <w:pStyle w:val="a5"/>
        <w:spacing w:line="520" w:lineRule="atLeast"/>
        <w:ind w:firstLineChars="200" w:firstLine="643"/>
        <w:rPr>
          <w:rFonts w:ascii="仿宋_GB2312" w:eastAsia="仿宋_GB2312" w:hint="eastAsia"/>
          <w:sz w:val="32"/>
        </w:rPr>
      </w:pPr>
      <w:r w:rsidRPr="0063078D">
        <w:rPr>
          <w:rFonts w:ascii="楷体_GB2312" w:eastAsia="楷体_GB2312" w:hint="eastAsia"/>
          <w:b/>
          <w:sz w:val="32"/>
        </w:rPr>
        <w:t>（一）调研对象。</w:t>
      </w:r>
      <w:r w:rsidRPr="00ED497F">
        <w:rPr>
          <w:rFonts w:ascii="仿宋_GB2312" w:eastAsia="仿宋_GB2312" w:hAnsi="仿宋_GB2312" w:hint="eastAsia"/>
          <w:sz w:val="32"/>
          <w:szCs w:val="32"/>
        </w:rPr>
        <w:t>中国石油天然气股份有限公司、中国石油化工股份有限公司、中海石油（中国）有限公司、陕西延长石油（集团）有限责任公司、中联煤层气有限责任公司</w:t>
      </w:r>
      <w:r>
        <w:rPr>
          <w:rFonts w:ascii="仿宋_GB2312" w:eastAsia="仿宋_GB2312" w:hint="eastAsia"/>
          <w:sz w:val="32"/>
        </w:rPr>
        <w:t>等。</w:t>
      </w:r>
    </w:p>
    <w:p w:rsidR="00946A30" w:rsidRDefault="00946A30" w:rsidP="00946A30">
      <w:pPr>
        <w:pStyle w:val="a5"/>
        <w:spacing w:line="520" w:lineRule="atLeast"/>
        <w:ind w:firstLineChars="200" w:firstLine="643"/>
        <w:rPr>
          <w:rFonts w:ascii="仿宋_GB2312" w:eastAsia="仿宋_GB2312" w:hint="eastAsia"/>
          <w:sz w:val="32"/>
        </w:rPr>
      </w:pPr>
      <w:r w:rsidRPr="0063078D">
        <w:rPr>
          <w:rFonts w:ascii="楷体_GB2312" w:eastAsia="楷体_GB2312" w:hint="eastAsia"/>
          <w:b/>
          <w:sz w:val="32"/>
        </w:rPr>
        <w:t>（二）调研范围。</w:t>
      </w:r>
      <w:r w:rsidRPr="004E6708">
        <w:rPr>
          <w:rFonts w:ascii="仿宋_GB2312" w:eastAsia="仿宋_GB2312" w:hint="eastAsia"/>
          <w:sz w:val="32"/>
        </w:rPr>
        <w:t>拟调研的</w:t>
      </w:r>
      <w:r w:rsidRPr="005F32F9">
        <w:rPr>
          <w:rFonts w:ascii="仿宋_GB2312" w:eastAsia="仿宋_GB2312" w:hAnsi="仿宋_GB2312" w:hint="eastAsia"/>
          <w:sz w:val="32"/>
          <w:szCs w:val="32"/>
        </w:rPr>
        <w:t>各油气公司总部</w:t>
      </w:r>
      <w:r>
        <w:rPr>
          <w:rFonts w:ascii="仿宋_GB2312" w:eastAsia="仿宋_GB2312" w:hAnsi="仿宋_GB2312" w:hint="eastAsia"/>
          <w:sz w:val="32"/>
          <w:szCs w:val="32"/>
        </w:rPr>
        <w:t>以及</w:t>
      </w:r>
      <w:r w:rsidRPr="00ED497F">
        <w:rPr>
          <w:rFonts w:ascii="仿宋_GB2312" w:eastAsia="仿宋_GB2312" w:hAnsi="仿宋_GB2312" w:hint="eastAsia"/>
          <w:sz w:val="32"/>
          <w:szCs w:val="32"/>
        </w:rPr>
        <w:t>中国石油天然气股份有限公司</w:t>
      </w:r>
      <w:r w:rsidRPr="008230BD">
        <w:rPr>
          <w:rFonts w:ascii="仿宋_GB2312" w:eastAsia="仿宋_GB2312" w:hAnsi="仿宋_GB2312" w:hint="eastAsia"/>
          <w:sz w:val="32"/>
          <w:szCs w:val="32"/>
        </w:rPr>
        <w:t>西南油气田分公司、</w:t>
      </w:r>
      <w:r w:rsidRPr="00ED497F">
        <w:rPr>
          <w:rFonts w:ascii="仿宋_GB2312" w:eastAsia="仿宋_GB2312" w:hAnsi="仿宋_GB2312" w:hint="eastAsia"/>
          <w:sz w:val="32"/>
          <w:szCs w:val="32"/>
        </w:rPr>
        <w:t>中国石油化工股份有限公司</w:t>
      </w:r>
      <w:r w:rsidRPr="008230BD">
        <w:rPr>
          <w:rFonts w:ascii="仿宋_GB2312" w:eastAsia="仿宋_GB2312" w:hAnsi="仿宋_GB2312" w:hint="eastAsia"/>
          <w:sz w:val="32"/>
          <w:szCs w:val="32"/>
        </w:rPr>
        <w:t>江苏油田分公司、</w:t>
      </w:r>
      <w:r w:rsidRPr="00ED497F">
        <w:rPr>
          <w:rFonts w:ascii="仿宋_GB2312" w:eastAsia="仿宋_GB2312" w:hAnsi="仿宋_GB2312" w:hint="eastAsia"/>
          <w:sz w:val="32"/>
          <w:szCs w:val="32"/>
        </w:rPr>
        <w:t>中海石油（中国）有限公司</w:t>
      </w:r>
      <w:r w:rsidRPr="008230BD">
        <w:rPr>
          <w:rFonts w:ascii="仿宋_GB2312" w:eastAsia="仿宋_GB2312" w:hAnsi="仿宋_GB2312" w:hint="eastAsia"/>
          <w:sz w:val="32"/>
          <w:szCs w:val="32"/>
        </w:rPr>
        <w:t>湛江分公司</w:t>
      </w:r>
      <w:r>
        <w:rPr>
          <w:rFonts w:ascii="仿宋_GB2312" w:eastAsia="仿宋_GB2312" w:hAnsi="仿宋_GB2312" w:hint="eastAsia"/>
          <w:sz w:val="32"/>
          <w:szCs w:val="32"/>
        </w:rPr>
        <w:t>、</w:t>
      </w:r>
      <w:r w:rsidRPr="00ED497F">
        <w:rPr>
          <w:rFonts w:ascii="仿宋_GB2312" w:eastAsia="仿宋_GB2312" w:hAnsi="仿宋_GB2312" w:hint="eastAsia"/>
          <w:sz w:val="32"/>
          <w:szCs w:val="32"/>
        </w:rPr>
        <w:t>陕西延长石油（集团）有限责任公司</w:t>
      </w:r>
      <w:r>
        <w:rPr>
          <w:rFonts w:ascii="仿宋_GB2312" w:eastAsia="仿宋_GB2312" w:hAnsi="仿宋_GB2312" w:hint="eastAsia"/>
          <w:sz w:val="32"/>
          <w:szCs w:val="32"/>
        </w:rPr>
        <w:t>延安气田、</w:t>
      </w:r>
      <w:r w:rsidRPr="00ED497F">
        <w:rPr>
          <w:rFonts w:ascii="仿宋_GB2312" w:eastAsia="仿宋_GB2312" w:hAnsi="仿宋_GB2312" w:hint="eastAsia"/>
          <w:sz w:val="32"/>
          <w:szCs w:val="32"/>
        </w:rPr>
        <w:t>中联煤层气有限责任公司</w:t>
      </w:r>
      <w:r>
        <w:rPr>
          <w:rFonts w:ascii="仿宋_GB2312" w:eastAsia="仿宋_GB2312" w:hAnsi="仿宋_GB2312" w:hint="eastAsia"/>
          <w:sz w:val="32"/>
          <w:szCs w:val="32"/>
        </w:rPr>
        <w:t>山西晋城潘河煤层气田</w:t>
      </w:r>
      <w:r w:rsidRPr="008230BD">
        <w:rPr>
          <w:rFonts w:ascii="仿宋_GB2312" w:eastAsia="仿宋_GB2312" w:hAnsi="仿宋_GB2312" w:hint="eastAsia"/>
          <w:sz w:val="32"/>
          <w:szCs w:val="32"/>
        </w:rPr>
        <w:t>等。</w:t>
      </w:r>
    </w:p>
    <w:p w:rsidR="00946A30" w:rsidRPr="0063078D" w:rsidRDefault="00946A30" w:rsidP="00946A30">
      <w:pPr>
        <w:pStyle w:val="a5"/>
        <w:spacing w:line="520" w:lineRule="atLeast"/>
        <w:ind w:firstLineChars="200" w:firstLine="640"/>
        <w:rPr>
          <w:rFonts w:ascii="黑体" w:eastAsia="黑体" w:hAnsi="黑体" w:hint="eastAsia"/>
          <w:sz w:val="32"/>
          <w:szCs w:val="32"/>
        </w:rPr>
      </w:pPr>
      <w:r w:rsidRPr="0063078D">
        <w:rPr>
          <w:rFonts w:ascii="黑体" w:eastAsia="黑体" w:hAnsi="黑体" w:hint="eastAsia"/>
          <w:sz w:val="32"/>
          <w:szCs w:val="32"/>
        </w:rPr>
        <w:t>三、调研方式</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实地调研和座谈、研讨相结合。对调研油气田开展实地调研，组织储量管理人员、技术人员及有关专家座谈和研讨。</w:t>
      </w:r>
    </w:p>
    <w:p w:rsidR="00946A30" w:rsidRPr="0063078D" w:rsidRDefault="00946A30" w:rsidP="00946A30">
      <w:pPr>
        <w:pStyle w:val="a5"/>
        <w:spacing w:line="520" w:lineRule="atLeast"/>
        <w:ind w:firstLineChars="200" w:firstLine="640"/>
        <w:rPr>
          <w:rFonts w:ascii="黑体" w:eastAsia="黑体" w:hAnsi="黑体" w:hint="eastAsia"/>
          <w:sz w:val="32"/>
          <w:szCs w:val="32"/>
        </w:rPr>
      </w:pPr>
      <w:r w:rsidRPr="0063078D">
        <w:rPr>
          <w:rFonts w:ascii="黑体" w:eastAsia="黑体" w:hAnsi="黑体" w:hint="eastAsia"/>
          <w:sz w:val="32"/>
          <w:szCs w:val="32"/>
        </w:rPr>
        <w:t>四、调研时间及进度安排</w:t>
      </w:r>
    </w:p>
    <w:p w:rsidR="00946A30" w:rsidRDefault="00946A30" w:rsidP="00946A30">
      <w:pPr>
        <w:pStyle w:val="a5"/>
        <w:spacing w:line="520" w:lineRule="atLeast"/>
        <w:ind w:firstLineChars="200" w:firstLine="640"/>
        <w:rPr>
          <w:rFonts w:ascii="仿宋_GB2312" w:eastAsia="仿宋_GB2312" w:hint="eastAsia"/>
          <w:sz w:val="32"/>
        </w:rPr>
      </w:pPr>
      <w:r w:rsidRPr="004E6708">
        <w:rPr>
          <w:rFonts w:ascii="楷体_GB2312" w:eastAsia="楷体_GB2312" w:hint="eastAsia"/>
          <w:sz w:val="32"/>
        </w:rPr>
        <w:t>（一）开展调研。</w:t>
      </w:r>
      <w:r>
        <w:rPr>
          <w:rFonts w:ascii="仿宋_GB2312" w:eastAsia="仿宋_GB2312" w:hint="eastAsia"/>
          <w:sz w:val="32"/>
        </w:rPr>
        <w:t xml:space="preserve">2017年6月至7月，利用1个月左右的时间分成2个调研组，赴各油公司开展调研工作。 </w:t>
      </w:r>
    </w:p>
    <w:p w:rsidR="00946A30" w:rsidRDefault="00946A30" w:rsidP="00946A30">
      <w:pPr>
        <w:pStyle w:val="a5"/>
        <w:spacing w:line="520" w:lineRule="atLeast"/>
        <w:ind w:firstLineChars="200" w:firstLine="640"/>
        <w:rPr>
          <w:rFonts w:ascii="仿宋_GB2312" w:eastAsia="仿宋_GB2312" w:hint="eastAsia"/>
          <w:sz w:val="32"/>
        </w:rPr>
      </w:pPr>
      <w:r w:rsidRPr="004E6708">
        <w:rPr>
          <w:rFonts w:ascii="楷体_GB2312" w:eastAsia="楷体_GB2312" w:hint="eastAsia"/>
          <w:sz w:val="32"/>
        </w:rPr>
        <w:t>（二）调研总结。</w:t>
      </w:r>
      <w:r>
        <w:rPr>
          <w:rFonts w:ascii="仿宋_GB2312" w:eastAsia="仿宋_GB2312" w:hint="eastAsia"/>
          <w:sz w:val="32"/>
        </w:rPr>
        <w:t>7月底前，形成提交调研分报告及总报告。</w:t>
      </w:r>
    </w:p>
    <w:p w:rsidR="00946A30" w:rsidRDefault="00946A30" w:rsidP="00946A30">
      <w:pPr>
        <w:pStyle w:val="a5"/>
        <w:spacing w:line="520" w:lineRule="atLeast"/>
        <w:ind w:firstLineChars="200" w:firstLine="640"/>
        <w:rPr>
          <w:rFonts w:ascii="仿宋_GB2312" w:eastAsia="仿宋_GB2312" w:hint="eastAsia"/>
          <w:sz w:val="32"/>
        </w:rPr>
      </w:pPr>
      <w:r w:rsidRPr="004E6708">
        <w:rPr>
          <w:rFonts w:ascii="楷体_GB2312" w:eastAsia="楷体_GB2312" w:hint="eastAsia"/>
          <w:sz w:val="32"/>
        </w:rPr>
        <w:t>（三）形成技术要求。</w:t>
      </w:r>
      <w:r>
        <w:rPr>
          <w:rFonts w:ascii="仿宋_GB2312" w:eastAsia="仿宋_GB2312" w:hint="eastAsia"/>
          <w:sz w:val="32"/>
        </w:rPr>
        <w:t xml:space="preserve">8月底前，针对调研总结出的共性问题，召开油气确权登记技术交流会。9月底前，提出解决问题的技术路线和方法，形成技术要求。 </w:t>
      </w:r>
    </w:p>
    <w:p w:rsidR="00946A30" w:rsidRPr="0063078D" w:rsidRDefault="00946A30" w:rsidP="00946A30">
      <w:pPr>
        <w:pStyle w:val="a5"/>
        <w:spacing w:line="520" w:lineRule="atLeast"/>
        <w:ind w:firstLineChars="200" w:firstLine="640"/>
        <w:rPr>
          <w:rFonts w:ascii="黑体" w:eastAsia="黑体" w:hAnsi="黑体" w:hint="eastAsia"/>
          <w:sz w:val="32"/>
          <w:szCs w:val="32"/>
        </w:rPr>
      </w:pPr>
      <w:r w:rsidRPr="0063078D">
        <w:rPr>
          <w:rFonts w:ascii="黑体" w:eastAsia="黑体" w:hAnsi="黑体" w:hint="eastAsia"/>
          <w:sz w:val="32"/>
          <w:szCs w:val="32"/>
        </w:rPr>
        <w:lastRenderedPageBreak/>
        <w:t>五、调研组组成</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设2个调研组，由储量司、部油气中心带队，成员由各油气公司、调研单位有关人员和有关专家组成。</w:t>
      </w:r>
    </w:p>
    <w:p w:rsidR="00946A30" w:rsidRPr="00D61D72"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 xml:space="preserve">第一组  </w:t>
      </w:r>
      <w:r w:rsidRPr="00ED497F">
        <w:rPr>
          <w:rFonts w:ascii="仿宋_GB2312" w:eastAsia="仿宋_GB2312" w:hAnsi="仿宋_GB2312" w:hint="eastAsia"/>
          <w:sz w:val="32"/>
          <w:szCs w:val="32"/>
        </w:rPr>
        <w:t>中国石油天然气股份有限公司</w:t>
      </w:r>
      <w:r>
        <w:rPr>
          <w:rFonts w:ascii="仿宋_GB2312" w:eastAsia="仿宋_GB2312" w:hAnsi="仿宋_GB2312" w:hint="eastAsia"/>
          <w:sz w:val="32"/>
          <w:szCs w:val="32"/>
        </w:rPr>
        <w:t>总部，</w:t>
      </w:r>
      <w:r w:rsidRPr="008230BD">
        <w:rPr>
          <w:rFonts w:ascii="仿宋_GB2312" w:eastAsia="仿宋_GB2312" w:hAnsi="仿宋_GB2312" w:hint="eastAsia"/>
          <w:sz w:val="32"/>
          <w:szCs w:val="32"/>
        </w:rPr>
        <w:t>西南油气田分公司</w:t>
      </w:r>
      <w:r>
        <w:rPr>
          <w:rFonts w:ascii="仿宋_GB2312" w:eastAsia="仿宋_GB2312" w:hAnsi="仿宋_GB2312" w:hint="eastAsia"/>
          <w:sz w:val="32"/>
          <w:szCs w:val="32"/>
        </w:rPr>
        <w:t>；</w:t>
      </w:r>
      <w:r w:rsidRPr="00ED497F">
        <w:rPr>
          <w:rFonts w:ascii="仿宋_GB2312" w:eastAsia="仿宋_GB2312" w:hAnsi="仿宋_GB2312" w:hint="eastAsia"/>
          <w:sz w:val="32"/>
          <w:szCs w:val="32"/>
        </w:rPr>
        <w:t>中海石油（中国）有限公司</w:t>
      </w:r>
      <w:r>
        <w:rPr>
          <w:rFonts w:ascii="仿宋_GB2312" w:eastAsia="仿宋_GB2312" w:hAnsi="仿宋_GB2312" w:hint="eastAsia"/>
          <w:sz w:val="32"/>
          <w:szCs w:val="32"/>
        </w:rPr>
        <w:t>总部，</w:t>
      </w:r>
      <w:r w:rsidRPr="008230BD">
        <w:rPr>
          <w:rFonts w:ascii="仿宋_GB2312" w:eastAsia="仿宋_GB2312" w:hAnsi="仿宋_GB2312" w:hint="eastAsia"/>
          <w:sz w:val="32"/>
          <w:szCs w:val="32"/>
        </w:rPr>
        <w:t>湛江分公司</w:t>
      </w:r>
      <w:r>
        <w:rPr>
          <w:rFonts w:ascii="仿宋_GB2312" w:eastAsia="仿宋_GB2312" w:hAnsi="仿宋_GB2312" w:hint="eastAsia"/>
          <w:sz w:val="32"/>
          <w:szCs w:val="32"/>
        </w:rPr>
        <w:t>。</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 xml:space="preserve">第二组  </w:t>
      </w:r>
      <w:r w:rsidRPr="00ED497F">
        <w:rPr>
          <w:rFonts w:ascii="仿宋_GB2312" w:eastAsia="仿宋_GB2312" w:hAnsi="仿宋_GB2312" w:hint="eastAsia"/>
          <w:sz w:val="32"/>
          <w:szCs w:val="32"/>
        </w:rPr>
        <w:t>中国石油化工股份有限公司</w:t>
      </w:r>
      <w:r>
        <w:rPr>
          <w:rFonts w:ascii="仿宋_GB2312" w:eastAsia="仿宋_GB2312" w:hAnsi="仿宋_GB2312" w:hint="eastAsia"/>
          <w:sz w:val="32"/>
          <w:szCs w:val="32"/>
        </w:rPr>
        <w:t>总部，</w:t>
      </w:r>
      <w:r w:rsidRPr="008230BD">
        <w:rPr>
          <w:rFonts w:ascii="仿宋_GB2312" w:eastAsia="仿宋_GB2312" w:hAnsi="仿宋_GB2312" w:hint="eastAsia"/>
          <w:sz w:val="32"/>
          <w:szCs w:val="32"/>
        </w:rPr>
        <w:t>江苏油田分公司</w:t>
      </w:r>
      <w:r>
        <w:rPr>
          <w:rFonts w:ascii="仿宋_GB2312" w:eastAsia="仿宋_GB2312" w:hAnsi="仿宋_GB2312" w:hint="eastAsia"/>
          <w:sz w:val="32"/>
          <w:szCs w:val="32"/>
        </w:rPr>
        <w:t>；</w:t>
      </w:r>
      <w:r w:rsidRPr="00ED497F">
        <w:rPr>
          <w:rFonts w:ascii="仿宋_GB2312" w:eastAsia="仿宋_GB2312" w:hAnsi="仿宋_GB2312" w:hint="eastAsia"/>
          <w:sz w:val="32"/>
          <w:szCs w:val="32"/>
        </w:rPr>
        <w:t>陕西延长石油（集团）有限责任公司</w:t>
      </w:r>
      <w:r>
        <w:rPr>
          <w:rFonts w:ascii="仿宋_GB2312" w:eastAsia="仿宋_GB2312" w:hAnsi="仿宋_GB2312" w:hint="eastAsia"/>
          <w:sz w:val="32"/>
          <w:szCs w:val="32"/>
        </w:rPr>
        <w:t>总部,延安气田；</w:t>
      </w:r>
      <w:r w:rsidRPr="00ED497F">
        <w:rPr>
          <w:rFonts w:ascii="仿宋_GB2312" w:eastAsia="仿宋_GB2312" w:hAnsi="仿宋_GB2312" w:hint="eastAsia"/>
          <w:sz w:val="32"/>
          <w:szCs w:val="32"/>
        </w:rPr>
        <w:t>中联煤层气有限责任公司</w:t>
      </w:r>
      <w:r>
        <w:rPr>
          <w:rFonts w:ascii="仿宋_GB2312" w:eastAsia="仿宋_GB2312" w:hAnsi="仿宋_GB2312" w:hint="eastAsia"/>
          <w:sz w:val="32"/>
          <w:szCs w:val="32"/>
        </w:rPr>
        <w:t>总部，山西晋城潘河煤层气田。</w:t>
      </w:r>
    </w:p>
    <w:p w:rsidR="00946A30" w:rsidRPr="004E6708" w:rsidRDefault="00946A30" w:rsidP="00946A30">
      <w:pPr>
        <w:pStyle w:val="a5"/>
        <w:spacing w:line="520" w:lineRule="atLeast"/>
        <w:ind w:firstLineChars="200" w:firstLine="640"/>
        <w:rPr>
          <w:rFonts w:ascii="黑体" w:eastAsia="黑体" w:hAnsi="黑体" w:hint="eastAsia"/>
          <w:sz w:val="32"/>
          <w:szCs w:val="32"/>
        </w:rPr>
      </w:pPr>
      <w:r w:rsidRPr="004E6708">
        <w:rPr>
          <w:rFonts w:ascii="黑体" w:eastAsia="黑体" w:hAnsi="黑体" w:hint="eastAsia"/>
          <w:sz w:val="32"/>
          <w:szCs w:val="32"/>
        </w:rPr>
        <w:t>六、调研成果</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（一）油气确权登记调研报告。</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（二）油气确权登记技术要求。</w:t>
      </w:r>
    </w:p>
    <w:p w:rsidR="00946A30" w:rsidRDefault="00946A30" w:rsidP="00946A30">
      <w:pPr>
        <w:pStyle w:val="a5"/>
        <w:spacing w:line="520" w:lineRule="atLeast"/>
        <w:ind w:firstLineChars="200" w:firstLine="640"/>
        <w:rPr>
          <w:rFonts w:ascii="仿宋_GB2312" w:eastAsia="仿宋_GB2312" w:hint="eastAsia"/>
          <w:sz w:val="32"/>
        </w:rPr>
      </w:pPr>
      <w:r>
        <w:rPr>
          <w:rFonts w:ascii="仿宋_GB2312" w:eastAsia="仿宋_GB2312" w:hint="eastAsia"/>
          <w:sz w:val="32"/>
        </w:rPr>
        <w:t>各组调研的具体时间、调研组人员组成另行通知，请各相关单位提前做好准备工作。</w:t>
      </w:r>
    </w:p>
    <w:p w:rsidR="00946A30" w:rsidRDefault="00946A30" w:rsidP="00946A30">
      <w:pPr>
        <w:spacing w:line="520" w:lineRule="atLeast"/>
        <w:ind w:firstLineChars="196" w:firstLine="627"/>
        <w:rPr>
          <w:rFonts w:ascii="仿宋_GB2312" w:eastAsia="仿宋_GB2312" w:hAnsi="黑体" w:hint="eastAsia"/>
          <w:sz w:val="32"/>
          <w:szCs w:val="32"/>
        </w:rPr>
      </w:pPr>
    </w:p>
    <w:p w:rsidR="00A224AD" w:rsidRPr="00946A30" w:rsidRDefault="00A224AD"/>
    <w:sectPr w:rsidR="00A224AD" w:rsidRPr="00946A30">
      <w:headerReference w:type="even" r:id="rId5"/>
      <w:headerReference w:type="default" r:id="rId6"/>
      <w:footerReference w:type="even" r:id="rId7"/>
      <w:footerReference w:type="default" r:id="rId8"/>
      <w:headerReference w:type="first" r:id="rId9"/>
      <w:footerReference w:type="first" r:id="rId10"/>
      <w:pgSz w:w="11906" w:h="16838"/>
      <w:pgMar w:top="1440" w:right="1531" w:bottom="1304"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rPr>
      <w:t>4</w:t>
    </w:r>
    <w:r>
      <w:fldChar w:fldCharType="end"/>
    </w:r>
  </w:p>
  <w:p w:rsidR="0060194C" w:rsidRDefault="00946A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pPr>
      <w:pStyle w:val="a4"/>
      <w:framePr w:h="0" w:wrap="around" w:vAnchor="text" w:hAnchor="margin" w:xAlign="center" w:y="1"/>
      <w:rPr>
        <w:rStyle w:val="a3"/>
      </w:rPr>
    </w:pPr>
    <w:r>
      <w:fldChar w:fldCharType="begin"/>
    </w:r>
    <w:r>
      <w:rPr>
        <w:rStyle w:val="a3"/>
      </w:rPr>
      <w:instrText xml:space="preserve">PAGE  </w:instrText>
    </w:r>
    <w:r>
      <w:fldChar w:fldCharType="separate"/>
    </w:r>
    <w:r>
      <w:rPr>
        <w:rStyle w:val="a3"/>
        <w:noProof/>
      </w:rPr>
      <w:t>2</w:t>
    </w:r>
    <w:r>
      <w:fldChar w:fldCharType="end"/>
    </w:r>
  </w:p>
  <w:p w:rsidR="0060194C" w:rsidRDefault="00946A3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rsidP="009F546B">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4C" w:rsidRDefault="00946A3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30"/>
    <w:rsid w:val="00946A30"/>
    <w:rsid w:val="00A22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3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46A30"/>
  </w:style>
  <w:style w:type="paragraph" w:styleId="a4">
    <w:name w:val="footer"/>
    <w:basedOn w:val="a"/>
    <w:link w:val="Char"/>
    <w:rsid w:val="00946A30"/>
    <w:pPr>
      <w:tabs>
        <w:tab w:val="center" w:pos="4153"/>
        <w:tab w:val="right" w:pos="8306"/>
      </w:tabs>
      <w:snapToGrid w:val="0"/>
      <w:jc w:val="left"/>
    </w:pPr>
    <w:rPr>
      <w:sz w:val="18"/>
    </w:rPr>
  </w:style>
  <w:style w:type="character" w:customStyle="1" w:styleId="Char">
    <w:name w:val="页脚 Char"/>
    <w:basedOn w:val="a0"/>
    <w:link w:val="a4"/>
    <w:rsid w:val="00946A30"/>
    <w:rPr>
      <w:rFonts w:ascii="Times New Roman" w:eastAsia="宋体" w:hAnsi="Times New Roman" w:cs="Times New Roman"/>
      <w:sz w:val="18"/>
      <w:szCs w:val="20"/>
    </w:rPr>
  </w:style>
  <w:style w:type="paragraph" w:styleId="a5">
    <w:name w:val="Body Text"/>
    <w:basedOn w:val="a"/>
    <w:link w:val="Char0"/>
    <w:rsid w:val="00946A30"/>
    <w:rPr>
      <w:rFonts w:ascii="宋体"/>
      <w:sz w:val="24"/>
    </w:rPr>
  </w:style>
  <w:style w:type="character" w:customStyle="1" w:styleId="Char0">
    <w:name w:val="正文文本 Char"/>
    <w:basedOn w:val="a0"/>
    <w:link w:val="a5"/>
    <w:rsid w:val="00946A30"/>
    <w:rPr>
      <w:rFonts w:ascii="宋体" w:eastAsia="宋体" w:hAnsi="Times New Roman" w:cs="Times New Roman"/>
      <w:sz w:val="24"/>
      <w:szCs w:val="20"/>
    </w:rPr>
  </w:style>
  <w:style w:type="paragraph" w:styleId="a6">
    <w:name w:val="header"/>
    <w:basedOn w:val="a"/>
    <w:link w:val="Char1"/>
    <w:rsid w:val="00946A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6"/>
    <w:rsid w:val="00946A30"/>
    <w:rPr>
      <w:rFonts w:ascii="Times New Roman" w:eastAsia="宋体" w:hAnsi="Times New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3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46A30"/>
  </w:style>
  <w:style w:type="paragraph" w:styleId="a4">
    <w:name w:val="footer"/>
    <w:basedOn w:val="a"/>
    <w:link w:val="Char"/>
    <w:rsid w:val="00946A30"/>
    <w:pPr>
      <w:tabs>
        <w:tab w:val="center" w:pos="4153"/>
        <w:tab w:val="right" w:pos="8306"/>
      </w:tabs>
      <w:snapToGrid w:val="0"/>
      <w:jc w:val="left"/>
    </w:pPr>
    <w:rPr>
      <w:sz w:val="18"/>
    </w:rPr>
  </w:style>
  <w:style w:type="character" w:customStyle="1" w:styleId="Char">
    <w:name w:val="页脚 Char"/>
    <w:basedOn w:val="a0"/>
    <w:link w:val="a4"/>
    <w:rsid w:val="00946A30"/>
    <w:rPr>
      <w:rFonts w:ascii="Times New Roman" w:eastAsia="宋体" w:hAnsi="Times New Roman" w:cs="Times New Roman"/>
      <w:sz w:val="18"/>
      <w:szCs w:val="20"/>
    </w:rPr>
  </w:style>
  <w:style w:type="paragraph" w:styleId="a5">
    <w:name w:val="Body Text"/>
    <w:basedOn w:val="a"/>
    <w:link w:val="Char0"/>
    <w:rsid w:val="00946A30"/>
    <w:rPr>
      <w:rFonts w:ascii="宋体"/>
      <w:sz w:val="24"/>
    </w:rPr>
  </w:style>
  <w:style w:type="character" w:customStyle="1" w:styleId="Char0">
    <w:name w:val="正文文本 Char"/>
    <w:basedOn w:val="a0"/>
    <w:link w:val="a5"/>
    <w:rsid w:val="00946A30"/>
    <w:rPr>
      <w:rFonts w:ascii="宋体" w:eastAsia="宋体" w:hAnsi="Times New Roman" w:cs="Times New Roman"/>
      <w:sz w:val="24"/>
      <w:szCs w:val="20"/>
    </w:rPr>
  </w:style>
  <w:style w:type="paragraph" w:styleId="a6">
    <w:name w:val="header"/>
    <w:basedOn w:val="a"/>
    <w:link w:val="Char1"/>
    <w:rsid w:val="00946A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6"/>
    <w:rsid w:val="00946A30"/>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2017-05-18T02:53:00Z</dcterms:created>
  <dcterms:modified xsi:type="dcterms:W3CDTF">2017-05-18T02:54:00Z</dcterms:modified>
</cp:coreProperties>
</file>